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ind w:left="5529" w:hanging="0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>
      <w:pPr>
        <w:pStyle w:val="Normal"/>
        <w:ind w:left="5529" w:hanging="0"/>
        <w:rPr>
          <w:sz w:val="28"/>
          <w:szCs w:val="28"/>
        </w:rPr>
      </w:pPr>
      <w:r>
        <w:rPr>
          <w:sz w:val="28"/>
          <w:szCs w:val="28"/>
        </w:rPr>
        <w:t>к государственной программе</w:t>
      </w:r>
    </w:p>
    <w:p>
      <w:pPr>
        <w:pStyle w:val="Normal"/>
        <w:ind w:left="5529" w:hanging="0"/>
        <w:rPr>
          <w:sz w:val="28"/>
          <w:szCs w:val="28"/>
        </w:rPr>
      </w:pPr>
      <w:r>
        <w:rPr>
          <w:sz w:val="28"/>
          <w:szCs w:val="28"/>
        </w:rPr>
        <w:t>Брянской области «Региональная</w:t>
      </w:r>
    </w:p>
    <w:p>
      <w:pPr>
        <w:pStyle w:val="Normal"/>
        <w:numPr>
          <w:ilvl w:val="0"/>
          <w:numId w:val="0"/>
        </w:numPr>
        <w:ind w:left="5529" w:hanging="0"/>
        <w:outlineLvl w:val="0"/>
        <w:rPr>
          <w:sz w:val="28"/>
          <w:szCs w:val="28"/>
        </w:rPr>
      </w:pPr>
      <w:r>
        <w:rPr>
          <w:sz w:val="28"/>
          <w:szCs w:val="28"/>
        </w:rPr>
        <w:t>политика Брянской области»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субсидий бюджетам муниципальных районов (муниципальных округов, городских округов) на у</w:t>
      </w:r>
      <w:r>
        <w:rPr>
          <w:sz w:val="28"/>
          <w:szCs w:val="28"/>
        </w:rPr>
        <w:t>становление и описание местоположения границ территориальных зон</w:t>
      </w:r>
      <w:r>
        <w:rPr>
          <w:bCs/>
          <w:sz w:val="28"/>
          <w:szCs w:val="28"/>
        </w:rPr>
        <w:t xml:space="preserve"> в рамках государственной программы «Региональная политика Брянской области»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Настоящий Порядок, разработанный в соответствии с </w:t>
      </w:r>
      <w:hyperlink r:id="rId2">
        <w:r>
          <w:rPr>
            <w:sz w:val="28"/>
            <w:szCs w:val="28"/>
          </w:rPr>
          <w:t>Правила</w:t>
        </w:r>
      </w:hyperlink>
      <w:r>
        <w:rPr>
          <w:sz w:val="28"/>
          <w:szCs w:val="28"/>
        </w:rPr>
        <w:t xml:space="preserve">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362-п, устанавливает цели и условия предоставления субсидий, критерии отбора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 xml:space="preserve">для </w:t>
      </w:r>
      <w:r>
        <w:rPr>
          <w:bCs/>
          <w:sz w:val="28"/>
          <w:szCs w:val="28"/>
        </w:rPr>
        <w:t>предоставления субсидий из областного бюджета бюджетам муниципальных районов (муниципальных округов, городских округов) на у</w:t>
      </w:r>
      <w:r>
        <w:rPr>
          <w:sz w:val="28"/>
          <w:szCs w:val="28"/>
        </w:rPr>
        <w:t>становление и описание местоположения границ территориальных зон</w:t>
      </w:r>
      <w:r>
        <w:rPr>
          <w:bCs/>
          <w:sz w:val="28"/>
          <w:szCs w:val="28"/>
        </w:rPr>
        <w:t xml:space="preserve"> в рамках государственной программы «Региональная политика Брянской области»</w:t>
      </w:r>
      <w:r>
        <w:rPr>
          <w:sz w:val="28"/>
          <w:szCs w:val="28"/>
        </w:rPr>
        <w:t>, методику распределения указанных субсидий.</w:t>
      </w:r>
    </w:p>
    <w:p>
      <w:pPr>
        <w:pStyle w:val="Normal"/>
        <w:ind w:firstLine="540"/>
        <w:jc w:val="both"/>
        <w:rPr>
          <w:sz w:val="28"/>
          <w:szCs w:val="28"/>
        </w:rPr>
      </w:pPr>
      <w:bookmarkStart w:id="0" w:name="Par20"/>
      <w:bookmarkEnd w:id="0"/>
      <w:r>
        <w:rPr>
          <w:sz w:val="28"/>
          <w:szCs w:val="28"/>
        </w:rPr>
        <w:t xml:space="preserve">2. Субсидии предоставляются в целях софинансирования расходных обязательств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>, возникающих при выполнении полномочий органов местного самоуправления по внесению изменений в правила землепользования и застройки в части</w:t>
      </w:r>
      <w:r>
        <w:rPr>
          <w:bCs/>
          <w:sz w:val="28"/>
          <w:szCs w:val="28"/>
        </w:rPr>
        <w:t xml:space="preserve"> у</w:t>
      </w:r>
      <w:r>
        <w:rPr>
          <w:sz w:val="28"/>
          <w:szCs w:val="28"/>
        </w:rPr>
        <w:t>становления и описания местоположения границ территориальных зон.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Условиями предоставления субсидии являются: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наличие в бюджетах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наличие муниципальной программы, предусматривающей мероприятия, указанные в пункте 2 настоящего Порядка;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наличие соглашения о предоставлении субсидии, заключенного с учетом требований, установленных </w:t>
      </w:r>
      <w:hyperlink r:id="rId3">
        <w:r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Брянской области от 23 июля 2018 года № 362-п «Об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области» (далее - соглашение).</w:t>
      </w:r>
    </w:p>
    <w:p>
      <w:pPr>
        <w:pStyle w:val="Normal"/>
        <w:ind w:firstLine="540"/>
        <w:jc w:val="both"/>
        <w:rPr>
          <w:sz w:val="28"/>
          <w:szCs w:val="28"/>
        </w:rPr>
      </w:pPr>
      <w:bookmarkStart w:id="1" w:name="Par22"/>
      <w:bookmarkEnd w:id="1"/>
      <w:r>
        <w:rPr>
          <w:sz w:val="28"/>
          <w:szCs w:val="28"/>
        </w:rPr>
        <w:t xml:space="preserve">4. Уровень софинансирования расходных обязательств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 xml:space="preserve">, указанных в </w:t>
      </w:r>
      <w:hyperlink w:anchor="Par15">
        <w:r>
          <w:rPr>
            <w:sz w:val="28"/>
            <w:szCs w:val="28"/>
          </w:rPr>
          <w:t>пункте 2</w:t>
        </w:r>
      </w:hyperlink>
      <w:r>
        <w:rPr>
          <w:sz w:val="28"/>
          <w:szCs w:val="28"/>
        </w:rPr>
        <w:t xml:space="preserve"> настоящего Порядка, не может превышать предельный уровень софинансирования расходного обязательства муниципального образования на очередной финансовый год и плановый период, установленный нормативным правовым актом Правительства Брянской области.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Главным распорядителем средств областного бюджета является департамент внутренней политики Брянской области (далее - Департамент).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Отбор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>осуществляется Департаментом.</w:t>
      </w:r>
    </w:p>
    <w:p>
      <w:pPr>
        <w:pStyle w:val="Normal"/>
        <w:ind w:firstLine="540"/>
        <w:jc w:val="both"/>
        <w:rPr>
          <w:sz w:val="28"/>
          <w:szCs w:val="28"/>
        </w:rPr>
      </w:pPr>
      <w:bookmarkStart w:id="2" w:name="Par27"/>
      <w:bookmarkEnd w:id="2"/>
      <w:r>
        <w:rPr>
          <w:sz w:val="28"/>
          <w:szCs w:val="28"/>
        </w:rPr>
        <w:t xml:space="preserve">7. Критериями отбора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округов) </w:t>
      </w:r>
      <w:r>
        <w:rPr>
          <w:sz w:val="28"/>
          <w:szCs w:val="28"/>
        </w:rPr>
        <w:t>для предоставления субсидий являются: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необходимость внесения изменений в правила землепользования и застройки в связи с отсутствием обязательного приложения к правилам землепользования и застройки в виде сведений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правила землепользования и застройки муниципальных образований соответствуют требованиям приказа Росреестра от 10.11.2020 N П/0412 «Об утверждении классификатора видов разрешенного использования земельных участков»; 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наличие в Едином государственном реестре недвижимости (ЕГРН) не менее 75 процентов сведений о границах населенных пунктов в виде координатного описания от общего количества населенных пунктов, входящих в состав муниципального образования.</w:t>
      </w:r>
    </w:p>
    <w:p>
      <w:pPr>
        <w:pStyle w:val="ConsPlusNormal"/>
        <w:tabs>
          <w:tab w:val="clear" w:pos="708"/>
          <w:tab w:val="left" w:pos="993" w:leader="none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Для получения субсидий администрация муниципального образования направляет в Департамент заявку на предоставление субсидии по форме, утвержденной Департаментом.</w:t>
      </w:r>
    </w:p>
    <w:p>
      <w:pPr>
        <w:pStyle w:val="ConsPlusNormal"/>
        <w:tabs>
          <w:tab w:val="clear" w:pos="708"/>
          <w:tab w:val="left" w:pos="993" w:leader="none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 заявке прилагаются следующие документы: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uto" w:line="240" w:before="0" w:after="0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запрашиваемого объема субсидии из областного бюджета на реализацию мероприятия;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uto" w:line="240" w:before="0" w:after="0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обязательстве </w:t>
      </w:r>
      <w:r>
        <w:rPr>
          <w:rFonts w:ascii="Times New Roman" w:hAnsi="Times New Roman"/>
          <w:bCs/>
          <w:sz w:val="28"/>
          <w:szCs w:val="28"/>
        </w:rPr>
        <w:t>муниципального района (муниципального округа, городского округа)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обеспечить в очередном финансовом году и плановом периоде софинансирование расходного обязательства из местного бюджета в размере, определенном исходя из установленного  нормативным правовым актом Правительства Брянской области предельного уровня софинансирования;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обязательстве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района (муниципального округа, городского округа) </w:t>
      </w:r>
      <w:r>
        <w:rPr>
          <w:rFonts w:ascii="Times New Roman" w:hAnsi="Times New Roman"/>
          <w:sz w:val="28"/>
          <w:szCs w:val="28"/>
        </w:rPr>
        <w:t>обеспечить принятие нормативного правового акта муниципального образования, утверждающего перечень мероприятий, в целях софинансирования которых предоставляется субсидия;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документы, подтверждающие соответствие </w:t>
      </w:r>
      <w:r>
        <w:rPr>
          <w:bCs/>
          <w:sz w:val="28"/>
          <w:szCs w:val="28"/>
        </w:rPr>
        <w:t>муниципального района (муниципального округа, городского округа)</w:t>
      </w:r>
      <w:r>
        <w:rPr>
          <w:sz w:val="28"/>
          <w:szCs w:val="28"/>
        </w:rPr>
        <w:t xml:space="preserve"> критериям отбора, установленным </w:t>
      </w:r>
      <w:hyperlink w:anchor="P2211">
        <w:r>
          <w:rPr>
            <w:sz w:val="28"/>
            <w:szCs w:val="28"/>
          </w:rPr>
          <w:t xml:space="preserve">пунктом </w:t>
        </w:r>
      </w:hyperlink>
      <w:r>
        <w:rPr>
          <w:sz w:val="28"/>
          <w:szCs w:val="28"/>
        </w:rPr>
        <w:t>7 настоящего Порядка.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представляемые для получения субсидии, должны быть пронумерованы и прошнурованы, заверены гербовой печатью, подписаны главой администрации муниципального района, муниципального или городского округа или уполномоченным им лицом с указанием фамилии, инициалов, должности и даты.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Департамент с учетом требований, перечисленных в пункте 8 настоящего Порядка, определяет перечень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 xml:space="preserve"> для предоставления субсидий на цели, указанные в пункте 2 настоящего Порядка.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Распределение субсидий </w:t>
      </w:r>
      <w:r>
        <w:rPr>
          <w:bCs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>
        <w:rPr>
          <w:sz w:val="28"/>
          <w:szCs w:val="28"/>
        </w:rPr>
        <w:t>утверждается законом Брянской области об областном бюджете на соответствующий финансовый год и плановый период.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Главный распорядитель средств областного бюджета предоставляет субсидию на основании соглашений о предоставлении субсидии бюджету муниципального образования, заключенных с администрациями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>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Соглашения подготавливаются (формируются) и заключаются в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 по форме, утвержденной приказом департамента финансов Брянской области.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Перечисление субсидий бюджетам </w:t>
      </w:r>
      <w:r>
        <w:rPr>
          <w:bCs/>
          <w:sz w:val="28"/>
          <w:szCs w:val="28"/>
        </w:rPr>
        <w:t>муниципального района (муниципального округа, городского округа)</w:t>
      </w:r>
      <w:r>
        <w:rPr>
          <w:sz w:val="28"/>
          <w:szCs w:val="28"/>
        </w:rPr>
        <w:t xml:space="preserve"> осуществляется на основании кассового плана выплат главного распорядителя средств областного бюджета, формируемого на основании заявок муниципальных районов (муниципальных округов, городских округов), предоставляемых по форме и в сроки, установленные главным распорядителем средств областного бюджета.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Перечисление субсидий осуществляется в установленном порядке на единые счета бюджетов, открытые финансовым органам муниципальных образований для осуществления и отражения операций по исполнению местных бюджетов в территориальных органах Федерального казначейства.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Администрации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 xml:space="preserve"> обеспечивают предоставление отчетов согласно срокам и формам, предусмотренных соглашением.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Внесение изменений в распределение субсидий бюджетам </w:t>
      </w:r>
      <w:r>
        <w:rPr>
          <w:bCs/>
          <w:sz w:val="28"/>
          <w:szCs w:val="28"/>
        </w:rPr>
        <w:t>муниципальных районов (муниципальных округов, городских округов)</w:t>
      </w:r>
      <w:r>
        <w:rPr>
          <w:sz w:val="28"/>
          <w:szCs w:val="28"/>
        </w:rPr>
        <w:t xml:space="preserve"> осуществляется в случаях, предусмотренных </w:t>
      </w:r>
      <w:hyperlink r:id="rId4">
        <w:r>
          <w:rPr>
            <w:sz w:val="28"/>
            <w:szCs w:val="28"/>
          </w:rPr>
          <w:t>статьей 13</w:t>
        </w:r>
      </w:hyperlink>
      <w:r>
        <w:rPr>
          <w:sz w:val="28"/>
          <w:szCs w:val="28"/>
        </w:rPr>
        <w:t xml:space="preserve"> Закона Брянской области «О межбюджетных отношениях в Брянской области».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16. Показателем (индикатором) государственной программы является 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субъекта Российской Федерации.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использования </w:t>
      </w:r>
      <w:r>
        <w:rPr>
          <w:bCs/>
          <w:sz w:val="28"/>
          <w:szCs w:val="28"/>
        </w:rPr>
        <w:t xml:space="preserve">муниципальными районами (муниципальными округами, городскими округами) </w:t>
      </w:r>
      <w:r>
        <w:rPr>
          <w:sz w:val="28"/>
          <w:szCs w:val="28"/>
        </w:rPr>
        <w:t xml:space="preserve">субсидии осуществляется Департаментом исходя из достижения </w:t>
      </w:r>
      <w:r>
        <w:rPr>
          <w:bCs/>
          <w:sz w:val="28"/>
          <w:szCs w:val="28"/>
        </w:rPr>
        <w:t xml:space="preserve">муниципальными районами (муниципальными округами, городскими округами) </w:t>
      </w:r>
      <w:r>
        <w:rPr>
          <w:sz w:val="28"/>
          <w:szCs w:val="28"/>
        </w:rPr>
        <w:t xml:space="preserve">целевого значения показателя (индикатора). Критерием эффективности использования субсидий является достижение значения целевого показателя результата, установленного соглашением о предоставлении субсидии </w:t>
      </w:r>
      <w:r>
        <w:rPr>
          <w:bCs/>
          <w:sz w:val="28"/>
          <w:szCs w:val="28"/>
        </w:rPr>
        <w:t>муниципальному району (муниципальному округу, городскому округу)</w:t>
      </w:r>
      <w:r>
        <w:rPr>
          <w:sz w:val="28"/>
          <w:szCs w:val="28"/>
        </w:rPr>
        <w:t>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В случае нарушения </w:t>
      </w:r>
      <w:r>
        <w:rPr>
          <w:bCs/>
          <w:sz w:val="28"/>
          <w:szCs w:val="28"/>
        </w:rPr>
        <w:t xml:space="preserve">муниципальным районом (муниципальным округом, городским округом) </w:t>
      </w:r>
      <w:r>
        <w:rPr>
          <w:sz w:val="28"/>
          <w:szCs w:val="28"/>
        </w:rPr>
        <w:t>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установленном законодательством порядке.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При невыполнении условий соглашения к </w:t>
      </w:r>
      <w:r>
        <w:rPr>
          <w:bCs/>
          <w:sz w:val="28"/>
          <w:szCs w:val="28"/>
        </w:rPr>
        <w:t>муниципальному району (муниципальному округу, городскому округу)</w:t>
      </w:r>
      <w:r>
        <w:rPr>
          <w:sz w:val="28"/>
          <w:szCs w:val="28"/>
        </w:rPr>
        <w:t xml:space="preserve"> - получателю субсидии применяются меры финансовой ответственности в соответствии с </w:t>
      </w:r>
      <w:hyperlink r:id="rId5">
        <w:r>
          <w:rPr>
            <w:sz w:val="28"/>
            <w:szCs w:val="28"/>
          </w:rPr>
          <w:t>Правилами</w:t>
        </w:r>
      </w:hyperlink>
      <w:r>
        <w:rPr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сокращения и перераспределения субсидий в случае невыполнения </w:t>
      </w:r>
      <w:r>
        <w:rPr>
          <w:bCs/>
          <w:sz w:val="28"/>
          <w:szCs w:val="28"/>
        </w:rPr>
        <w:t xml:space="preserve">муниципальным районом (муниципальным округом, городским округом) </w:t>
      </w:r>
      <w:r>
        <w:rPr>
          <w:sz w:val="28"/>
          <w:szCs w:val="28"/>
        </w:rPr>
        <w:t xml:space="preserve">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</w:t>
      </w:r>
      <w:r>
        <w:rPr>
          <w:bCs/>
          <w:sz w:val="28"/>
          <w:szCs w:val="28"/>
        </w:rPr>
        <w:t xml:space="preserve">муниципальному району (муниципальному округу, городскому округу) </w:t>
      </w:r>
      <w:r>
        <w:rPr>
          <w:sz w:val="28"/>
          <w:szCs w:val="28"/>
        </w:rPr>
        <w:t>по рассматриваемому мероприятию в год совершения нарушения.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Контроль за правомерным использованием средств субсидии, соблюдением </w:t>
      </w:r>
      <w:r>
        <w:rPr>
          <w:bCs/>
          <w:sz w:val="28"/>
          <w:szCs w:val="28"/>
        </w:rPr>
        <w:t xml:space="preserve">муниципальным районом (муниципальным округом, городским округом) </w:t>
      </w:r>
      <w:r>
        <w:rPr>
          <w:sz w:val="28"/>
          <w:szCs w:val="28"/>
        </w:rPr>
        <w:t xml:space="preserve">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бюджетным законодательством и с учетом положений, утвержденных </w:t>
      </w:r>
      <w:hyperlink r:id="rId6">
        <w:r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Брянской области от 23 июля 2018 года № 362-п «Об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области».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firstLine="54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Методика</w:t>
      </w:r>
    </w:p>
    <w:p>
      <w:pPr>
        <w:pStyle w:val="Normal"/>
        <w:numPr>
          <w:ilvl w:val="0"/>
          <w:numId w:val="0"/>
        </w:numPr>
        <w:ind w:firstLine="54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распределения субсидий бюджетам муниципальных районов (муниципальных округов, городских округов) на у</w:t>
      </w:r>
      <w:r>
        <w:rPr>
          <w:sz w:val="28"/>
          <w:szCs w:val="28"/>
        </w:rPr>
        <w:t>становление и описание местоположения границ территориальных зон</w:t>
      </w:r>
      <w:r>
        <w:rPr>
          <w:bCs/>
          <w:sz w:val="28"/>
          <w:szCs w:val="28"/>
        </w:rPr>
        <w:t xml:space="preserve"> в рамках государственной программы «Региональная политика Брянской области»</w:t>
      </w:r>
    </w:p>
    <w:p>
      <w:pPr>
        <w:pStyle w:val="Normal"/>
        <w:numPr>
          <w:ilvl w:val="0"/>
          <w:numId w:val="0"/>
        </w:numPr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субсидии </w:t>
      </w:r>
      <w:r>
        <w:rPr>
          <w:bCs/>
          <w:sz w:val="28"/>
          <w:szCs w:val="28"/>
        </w:rPr>
        <w:t>бюджетам муниципальных районов (муниципальных округов, городских округов) на у</w:t>
      </w:r>
      <w:r>
        <w:rPr>
          <w:sz w:val="28"/>
          <w:szCs w:val="28"/>
        </w:rPr>
        <w:t>становление и описание местоположения границ территориальных зон</w:t>
      </w:r>
      <w:r>
        <w:rPr>
          <w:bCs/>
          <w:sz w:val="28"/>
          <w:szCs w:val="28"/>
        </w:rPr>
        <w:t xml:space="preserve"> в рамках государственной программы «Региональная политика Брянской области»</w:t>
      </w:r>
      <w:r>
        <w:rPr>
          <w:sz w:val="28"/>
          <w:szCs w:val="28"/>
        </w:rPr>
        <w:t xml:space="preserve"> i-му </w:t>
      </w:r>
      <w:r>
        <w:rPr>
          <w:bCs/>
          <w:sz w:val="28"/>
          <w:szCs w:val="28"/>
        </w:rPr>
        <w:t>муниципальному району (муниципальному округу, городскому округу)</w:t>
      </w:r>
      <w:r>
        <w:rPr>
          <w:sz w:val="28"/>
          <w:szCs w:val="28"/>
        </w:rPr>
        <w:t xml:space="preserve"> (G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 определяется по формуле: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G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= G*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Ri</m:t>
            </m:r>
          </m:num>
          <m:den>
            <m:r>
              <w:rPr>
                <w:rFonts w:ascii="Cambria Math" w:hAnsi="Cambria Math"/>
              </w:rPr>
              <m:t xml:space="preserve">∑</m:t>
            </m:r>
            <m:r>
              <w:rPr>
                <w:rFonts w:ascii="Cambria Math" w:hAnsi="Cambria Math"/>
              </w:rPr>
              <m:t xml:space="preserve">Ri</m:t>
            </m:r>
          </m:den>
        </m:f>
      </m:oMath>
      <w:r>
        <w:rPr>
          <w:sz w:val="28"/>
          <w:szCs w:val="28"/>
        </w:rPr>
        <w:t>,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G - объем бюджетных ассигнований, предусмотренных в областном бюджете на соответствующий финансовый год</w:t>
      </w:r>
      <w:r>
        <w:rPr>
          <w:bCs/>
          <w:sz w:val="28"/>
          <w:szCs w:val="28"/>
        </w:rPr>
        <w:t xml:space="preserve"> для предоставления субсидий бюджетам муниципальных районов (муниципальных округов, городских округов) на у</w:t>
      </w:r>
      <w:r>
        <w:rPr>
          <w:sz w:val="28"/>
          <w:szCs w:val="28"/>
        </w:rPr>
        <w:t>становление и описание местоположения границ территориальных зон;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Ri - объем средств, необходимых </w:t>
      </w:r>
      <w:r>
        <w:rPr>
          <w:bCs/>
          <w:sz w:val="28"/>
          <w:szCs w:val="28"/>
        </w:rPr>
        <w:t>на у</w:t>
      </w:r>
      <w:r>
        <w:rPr>
          <w:sz w:val="28"/>
          <w:szCs w:val="28"/>
        </w:rPr>
        <w:t xml:space="preserve">становление и описание местоположения границ территориальных зон в соответствии с заявкой i-го </w:t>
      </w:r>
      <w:r>
        <w:rPr>
          <w:bCs/>
          <w:sz w:val="28"/>
          <w:szCs w:val="28"/>
        </w:rPr>
        <w:t>муниципального района (муниципального округа, городского округа)</w:t>
      </w:r>
      <w:r>
        <w:rPr>
          <w:sz w:val="28"/>
          <w:szCs w:val="28"/>
        </w:rPr>
        <w:t xml:space="preserve"> на соответствующий финансовый год;</w:t>
      </w:r>
    </w:p>
    <w:p>
      <w:pPr>
        <w:pStyle w:val="Normal"/>
        <w:ind w:firstLine="540"/>
        <w:jc w:val="both"/>
        <w:rPr>
          <w:rFonts w:eastAsia="Calibri"/>
          <w:bCs/>
          <w:sz w:val="20"/>
          <w:szCs w:val="20"/>
          <w:lang w:eastAsia="en-US"/>
        </w:rPr>
      </w:pPr>
      <w:r>
        <w:rPr>
          <w:sz w:val="28"/>
          <w:szCs w:val="28"/>
        </w:rPr>
        <w:t>∑</w:t>
      </w:r>
      <w:r>
        <w:rPr>
          <w:sz w:val="28"/>
          <w:szCs w:val="28"/>
          <w:lang w:val="en-US"/>
        </w:rPr>
        <w:t>Ri</w:t>
      </w:r>
      <w:r>
        <w:rPr>
          <w:sz w:val="28"/>
          <w:szCs w:val="28"/>
        </w:rPr>
        <w:t xml:space="preserve"> – общий объем средств, необходимых </w:t>
      </w:r>
      <w:r>
        <w:rPr>
          <w:bCs/>
          <w:sz w:val="28"/>
          <w:szCs w:val="28"/>
        </w:rPr>
        <w:t>на у</w:t>
      </w:r>
      <w:r>
        <w:rPr>
          <w:sz w:val="28"/>
          <w:szCs w:val="28"/>
        </w:rPr>
        <w:t xml:space="preserve">становление и описание местоположения границ территориальных зон в соответствии с заявками </w:t>
      </w:r>
      <w:r>
        <w:rPr>
          <w:bCs/>
          <w:sz w:val="28"/>
          <w:szCs w:val="28"/>
        </w:rPr>
        <w:t xml:space="preserve">муниципальных районов (муниципальных округов, городских округо) </w:t>
      </w:r>
      <w:r>
        <w:rPr>
          <w:sz w:val="28"/>
          <w:szCs w:val="28"/>
        </w:rPr>
        <w:t>на соответствующий финансовый год.</w:t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1380" w:hanging="8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5b3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195b32"/>
    <w:pPr>
      <w:keepNext w:val="true"/>
      <w:jc w:val="center"/>
      <w:outlineLvl w:val="0"/>
    </w:pPr>
    <w:rPr>
      <w:b/>
      <w:sz w:val="40"/>
      <w:szCs w:val="30"/>
    </w:rPr>
  </w:style>
  <w:style w:type="paragraph" w:styleId="2">
    <w:name w:val="Heading 2"/>
    <w:basedOn w:val="Normal"/>
    <w:next w:val="Normal"/>
    <w:link w:val="20"/>
    <w:uiPriority w:val="9"/>
    <w:qFormat/>
    <w:rsid w:val="00195b32"/>
    <w:pPr>
      <w:keepNext w:val="true"/>
      <w:outlineLvl w:val="1"/>
    </w:pPr>
    <w:rPr>
      <w:sz w:val="28"/>
    </w:rPr>
  </w:style>
  <w:style w:type="paragraph" w:styleId="3">
    <w:name w:val="Heading 3"/>
    <w:basedOn w:val="Normal"/>
    <w:link w:val="30"/>
    <w:uiPriority w:val="9"/>
    <w:qFormat/>
    <w:rsid w:val="00195b32"/>
    <w:pPr>
      <w:spacing w:beforeAutospacing="1" w:afterAutospacing="1"/>
      <w:outlineLvl w:val="2"/>
    </w:pPr>
    <w:rPr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95b32"/>
    <w:rPr>
      <w:b/>
      <w:sz w:val="40"/>
      <w:szCs w:val="30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195b32"/>
    <w:rPr>
      <w:sz w:val="28"/>
      <w:szCs w:val="24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195b32"/>
    <w:rPr>
      <w:b/>
      <w:bCs/>
      <w:sz w:val="27"/>
      <w:szCs w:val="27"/>
    </w:rPr>
  </w:style>
  <w:style w:type="character" w:styleId="Style11" w:customStyle="1">
    <w:name w:val="Текст выноски Знак"/>
    <w:basedOn w:val="DefaultParagraphFont"/>
    <w:link w:val="a4"/>
    <w:uiPriority w:val="99"/>
    <w:semiHidden/>
    <w:qFormat/>
    <w:rsid w:val="00d843f3"/>
    <w:rPr>
      <w:rFonts w:ascii="Tahoma" w:hAnsi="Tahoma" w:cs="Tahoma"/>
      <w:sz w:val="16"/>
      <w:szCs w:val="16"/>
    </w:rPr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 Unicode M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195b32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d843f3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db1352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EABAFFC88E9FDBE9BAD614AB326EAB1459EC78324E060BB278AF6920DB902EC43A5EEA2B8C802A6DC17F413308DCF6B22B34B0802AC4AEEC0D210329A1O" TargetMode="External"/><Relationship Id="rId3" Type="http://schemas.openxmlformats.org/officeDocument/2006/relationships/hyperlink" Target="consultantplus://offline/ref=A670223777E95422EB16EC679AE4F198CB096CC4D32433F1FD26491BDB25E5A435801BA4D4E3D32102C8810B8880BCC0UCrCL" TargetMode="External"/><Relationship Id="rId4" Type="http://schemas.openxmlformats.org/officeDocument/2006/relationships/hyperlink" Target="consultantplus://offline/ref=A670223777E95422EB16EC679AE4F198CB096CC4D32734F0F926491BDB25E5A435801BB6D4BBDF210BD7800F9DD6ED8699893506C338B6112220ABU5r1L" TargetMode="External"/><Relationship Id="rId5" Type="http://schemas.openxmlformats.org/officeDocument/2006/relationships/hyperlink" Target="consultantplus://offline/ref=A670223777E95422EB16EC679AE4F198CB096CC4D32433F1FD26491BDB25E5A435801BB6D4BBDF210BD681089DD6ED8699893506C338B6112220ABU5r1L" TargetMode="External"/><Relationship Id="rId6" Type="http://schemas.openxmlformats.org/officeDocument/2006/relationships/hyperlink" Target="consultantplus://offline/ref=A670223777E95422EB16EC679AE4F198CB096CC4D32433F1FD26491BDB25E5A435801BA4D4E3D32102C8810B8880BCC0UCrCL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Application>LibreOffice/7.0.1.2$Windows_X86_64 LibreOffice_project/7cbcfc562f6eb6708b5ff7d7397325de9e764452</Application>
  <Pages>3</Pages>
  <Words>1294</Words>
  <Characters>10516</Characters>
  <CharactersWithSpaces>11762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2021-09-15T13:54:00Z</dcterms:created>
  <dc:creator>User</dc:creator>
  <dc:description/>
  <dc:language>ru-RU</dc:language>
  <cp:lastModifiedBy>User</cp:lastModifiedBy>
  <cp:lastPrinted>2021-10-21T12:45:00Z</cp:lastPrinted>
  <dcterms:modified xsi:type="dcterms:W3CDTF">2021-10-21T13:38:00Z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